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3"/>
        <w:spacing w:lineRule="auto" w:line="360" w:before="0" w:after="120"/>
        <w:jc w:val="center"/>
        <w:rPr>
          <w:rFonts w:cs="Arial"/>
        </w:rPr>
      </w:pPr>
      <w:bookmarkStart w:id="0" w:name="_Toc184379948"/>
      <w:bookmarkStart w:id="1" w:name="_Toc160725055"/>
      <w:bookmarkEnd w:id="0"/>
      <w:bookmarkEnd w:id="1"/>
      <w:r>
        <w:rPr>
          <w:rFonts w:cs="Arial" w:ascii="Arial" w:hAnsi="Arial"/>
          <w:sz w:val="20"/>
          <w:szCs w:val="20"/>
        </w:rPr>
        <w:t>ANEXO II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</w:p>
    <w:p>
      <w:pPr>
        <w:pStyle w:val="Ttulo3"/>
        <w:spacing w:lineRule="auto" w:line="360" w:before="0" w:after="120"/>
        <w:jc w:val="center"/>
        <w:rPr>
          <w:rFonts w:cs="Arial"/>
        </w:rPr>
      </w:pPr>
      <w:bookmarkStart w:id="2" w:name="_Toc184379949"/>
      <w:bookmarkStart w:id="3" w:name="_Toc160725056"/>
      <w:bookmarkEnd w:id="2"/>
      <w:bookmarkEnd w:id="3"/>
      <w:r>
        <w:rPr>
          <w:rFonts w:cs="Arial" w:ascii="Arial" w:hAnsi="Arial"/>
          <w:sz w:val="20"/>
          <w:szCs w:val="20"/>
        </w:rPr>
        <w:t>ESTRUTURA TARIFÁRIA REFERENCIAL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color w:val="ED7D31" w:themeColor="accent2"/>
          <w:sz w:val="20"/>
          <w:szCs w:val="20"/>
        </w:rPr>
      </w:pPr>
      <w:r>
        <w:rPr>
          <w:rFonts w:cs="Arial" w:ascii="Arial" w:hAnsi="Arial"/>
          <w:b/>
          <w:color w:val="ED7D31" w:themeColor="accent2"/>
          <w:sz w:val="20"/>
          <w:szCs w:val="20"/>
        </w:rPr>
      </w:r>
      <w:r>
        <w:br w:type="page"/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Este documento estabelece a estrutura tarifária para os serviços públicos de abastecimento de água e esgotamento sanitário no Município de Erechim.</w:t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CATEGORIAS DE USUÁRIOS: A estrutura tarifária diferenciará os usuários conforme as seguintes categorias: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Residencial</w:t>
      </w:r>
      <w:r>
        <w:rPr>
          <w:rFonts w:eastAsia="Calibri" w:cs="Arial" w:ascii="Arial" w:hAnsi="Arial"/>
          <w:sz w:val="20"/>
          <w:szCs w:val="20"/>
        </w:rPr>
        <w:t>: Imóveis utilizados exclusivamente para fins habitacionais.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Comercial</w:t>
      </w:r>
      <w:r>
        <w:rPr>
          <w:rFonts w:eastAsia="Calibri" w:cs="Arial" w:ascii="Arial" w:hAnsi="Arial"/>
          <w:sz w:val="20"/>
          <w:szCs w:val="20"/>
        </w:rPr>
        <w:t>: Imóveis utilizados para comércio, serviços e atividades empresariais.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Industrial</w:t>
      </w:r>
      <w:r>
        <w:rPr>
          <w:rFonts w:eastAsia="Calibri" w:cs="Arial" w:ascii="Arial" w:hAnsi="Arial"/>
          <w:sz w:val="20"/>
          <w:szCs w:val="20"/>
        </w:rPr>
        <w:t>: Imóveis destinados à produção industrial.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Pública</w:t>
      </w:r>
      <w:r>
        <w:rPr>
          <w:rFonts w:eastAsia="Calibri" w:cs="Arial" w:ascii="Arial" w:hAnsi="Arial"/>
          <w:sz w:val="20"/>
          <w:szCs w:val="20"/>
        </w:rPr>
        <w:t>: Unidades pertencentes ao setor público.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2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b/>
          <w:bCs/>
          <w:sz w:val="20"/>
          <w:szCs w:val="20"/>
        </w:rPr>
        <w:t>Social</w:t>
      </w:r>
      <w:r>
        <w:rPr>
          <w:rFonts w:eastAsia="Calibri" w:cs="Arial" w:ascii="Arial" w:hAnsi="Arial"/>
          <w:sz w:val="20"/>
          <w:szCs w:val="20"/>
        </w:rPr>
        <w:t>: Imóveis de baixa renda, conforme critérios estabelecidos no item 4.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ESTRUTURA TARIFÁRIA: A estrutura tarifária compreenderá: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Tarifa de Água A cobrança será composta por: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Serviço Básico: Valor devido independentemente do consumo, destinado a cobrir custos fixos da prestação do serviço.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Preço Base: Valor cobrado com base no volume de consumo medido em metros cúbicos (m³) em hidrômetro ou consumo presumido, quando não existir medidor correspondente aos custos de produção de água.</w:t>
      </w:r>
    </w:p>
    <w:p>
      <w:pPr>
        <w:pStyle w:val="ListParagraph"/>
        <w:widowControl w:val="false"/>
        <w:numPr>
          <w:ilvl w:val="3"/>
          <w:numId w:val="2"/>
        </w:numPr>
        <w:spacing w:lineRule="auto" w:line="360" w:before="12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Para fins de cálculo da tarifa o preço base será variável de acordo com o volume consumido, aplicando-se a Tabela de Exponenciais, em anexo.</w:t>
      </w:r>
    </w:p>
    <w:p>
      <w:pPr>
        <w:pStyle w:val="ListParagraph"/>
        <w:widowControl w:val="false"/>
        <w:numPr>
          <w:ilvl w:val="2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O Valor de água é calculado de acordo com a Fórmula </w:t>
      </w:r>
      <w:r>
        <w:rPr>
          <w:rFonts w:eastAsia="Calibri" w:cs="Arial" w:ascii="Arial" w:hAnsi="Arial"/>
          <w:sz w:val="20"/>
          <w:szCs w:val="20"/>
        </w:rPr>
      </w:r>
      <m:oMath xmlns:m="http://schemas.openxmlformats.org/officeDocument/2006/math">
        <m:r>
          <w:rPr>
            <w:rFonts w:ascii="Cambria Math" w:hAnsi="Cambria Math"/>
          </w:rPr>
          <m:t xml:space="preserve">PB</m:t>
        </m:r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C</m:t>
            </m:r>
          </m:e>
          <m:sup>
            <m:r>
              <w:rPr>
                <w:rFonts w:ascii="Cambria Math" w:hAnsi="Cambria Math"/>
              </w:rPr>
              <m:t xml:space="preserve">n</m:t>
            </m:r>
          </m:sup>
        </m:sSup>
      </m:oMath>
      <w:r>
        <w:rPr>
          <w:rFonts w:eastAsia="Calibri" w:cs="Arial" w:ascii="Arial" w:hAnsi="Arial"/>
          <w:sz w:val="20"/>
          <w:szCs w:val="20"/>
        </w:rPr>
        <w:t xml:space="preserve"> acrescido do Serviço Básico, sendo PB o Preço Base, C o consumo e n o valor na tabela exponencial relativo ao consumo.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A seguir a estrutura tarifária sintética utilizada no faturamento do município de Erechim</w:t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0"/>
          <w:szCs w:val="20"/>
        </w:rPr>
        <w:t>Tarifa Serviço Básico Referencial (TSBR): R$ 31,28</w:t>
      </w:r>
    </w:p>
    <w:p>
      <w:pPr>
        <w:pStyle w:val="Normal"/>
        <w:widowControl w:val="false"/>
        <w:spacing w:lineRule="auto" w:line="360" w:before="0" w:after="24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240"/>
        <w:jc w:val="center"/>
        <w:rPr>
          <w:rFonts w:ascii="Arial" w:hAnsi="Arial" w:eastAsia="Calibri" w:cs="Arial"/>
          <w:b/>
          <w:b/>
          <w:spacing w:val="-2"/>
          <w:sz w:val="24"/>
          <w:szCs w:val="24"/>
          <w:lang w:val="pt-PT"/>
        </w:rPr>
      </w:pPr>
      <w:r>
        <w:rPr>
          <w:rFonts w:eastAsia="Calibri" w:cs="Arial" w:ascii="Arial" w:hAnsi="Arial"/>
          <w:b/>
          <w:sz w:val="20"/>
          <w:szCs w:val="20"/>
          <w:lang w:val="pt-PT"/>
        </w:rPr>
        <w:t>Tabela</w:t>
      </w:r>
      <w:r>
        <w:rPr>
          <w:rFonts w:eastAsia="Calibri" w:cs="Arial" w:ascii="Arial" w:hAnsi="Arial"/>
          <w:b/>
          <w:spacing w:val="-6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I -</w:t>
      </w:r>
      <w:r>
        <w:rPr>
          <w:rFonts w:eastAsia="Calibri" w:cs="Arial" w:ascii="Arial" w:hAnsi="Arial"/>
          <w:b/>
          <w:spacing w:val="-6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Estrutura</w:t>
      </w:r>
      <w:r>
        <w:rPr>
          <w:rFonts w:eastAsia="Calibri" w:cs="Arial" w:ascii="Arial" w:hAnsi="Arial"/>
          <w:b/>
          <w:spacing w:val="-7"/>
          <w:sz w:val="20"/>
          <w:szCs w:val="20"/>
          <w:lang w:val="pt-PT"/>
        </w:rPr>
        <w:t xml:space="preserve"> </w:t>
      </w:r>
      <w:r>
        <w:rPr>
          <w:rFonts w:eastAsia="Calibri" w:cs="Arial" w:ascii="Arial" w:hAnsi="Arial"/>
          <w:b/>
          <w:sz w:val="20"/>
          <w:szCs w:val="20"/>
          <w:lang w:val="pt-PT"/>
        </w:rPr>
        <w:t>Tarifária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023"/>
        <w:gridCol w:w="3024"/>
        <w:gridCol w:w="3024"/>
      </w:tblGrid>
      <w:tr>
        <w:trPr>
          <w:trHeight w:val="340" w:hRule="atLeast"/>
        </w:trPr>
        <w:tc>
          <w:tcPr>
            <w:tcW w:w="3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Categoria</w:t>
            </w:r>
          </w:p>
        </w:tc>
        <w:tc>
          <w:tcPr>
            <w:tcW w:w="6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Água</w:t>
            </w:r>
          </w:p>
        </w:tc>
      </w:tr>
      <w:tr>
        <w:trPr>
          <w:trHeight w:val="340" w:hRule="atLeast"/>
        </w:trPr>
        <w:tc>
          <w:tcPr>
            <w:tcW w:w="302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Serviço Básico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val="pt-PT"/>
              </w:rPr>
              <w:t>Preço Base por m³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 xml:space="preserve">Residencial Social 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R$ 12,54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R$ 3,43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Residencial Básica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R$ 31,28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R$ 6,85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Comercial C1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R$ 31,28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R$ 6,85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Comercial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R$ 55,81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R$ 7,79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Pública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sz w:val="20"/>
                <w:szCs w:val="20"/>
              </w:rPr>
              <w:t>R$ 111,45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cs="Arial" w:ascii="Arial" w:hAnsi="Arial"/>
                <w:sz w:val="20"/>
                <w:szCs w:val="20"/>
              </w:rPr>
              <w:t>R$ 7,79</w:t>
            </w:r>
          </w:p>
        </w:tc>
      </w:tr>
      <w:tr>
        <w:trPr>
          <w:trHeight w:val="340" w:hRule="atLeast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t-PT"/>
              </w:rPr>
              <w:t>Industrial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R$ 111,45</w:t>
            </w:r>
          </w:p>
        </w:tc>
        <w:tc>
          <w:tcPr>
            <w:tcW w:w="3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R$ 8,85</w:t>
            </w:r>
          </w:p>
        </w:tc>
      </w:tr>
    </w:tbl>
    <w:p>
      <w:pPr>
        <w:pStyle w:val="Normal"/>
        <w:widowControl w:val="false"/>
        <w:spacing w:lineRule="auto" w:line="360" w:before="0" w:after="240"/>
        <w:ind w:left="720" w:hanging="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Tarifa de Esgoto: A cobrança pelo serviço de esgotamento sanitário será estabelecida como um percentual de 70% da conta de água, incluindo o valor do serviço básico.</w:t>
      </w:r>
    </w:p>
    <w:p>
      <w:pPr>
        <w:pStyle w:val="ListParagraph"/>
        <w:widowControl w:val="false"/>
        <w:spacing w:lineRule="auto" w:line="360" w:before="0" w:after="240"/>
        <w:ind w:left="792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TARIFA SOCIAL: Serão beneficiários da tarifa social, conforme a Lei nº 14.898, de 13/06/2024, ou a que vier a sucedê-la, os usuários com renda per capita de até meio salário-mínimo que se enquadrem em um dos seguintes critérios: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360" w:before="0" w:after="240"/>
        <w:ind w:left="993" w:hanging="633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pertencer a família de baixa renda inscrita no Cadastro Único para Programas Sociais (CadÚnico) ou no sistema cadastral que venha a sucedê-lo; ou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360" w:before="0" w:after="240"/>
        <w:ind w:left="993" w:hanging="633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pertencer a família que tenha, entre seus membros, pessoa com deficiência ou pessoa idosa com 65 (sessenta e cinco) anos de idade ou mais que comprove não possuir meios de prover a própria manutenção nem de tê-la provida por sua família e que receba, nos termos dos arts. 20 e 21 da Lei nº 8.742, de 7 de dezembro de 1993 (Lei Orgânica da Assistência Social), Benefício de Prestação Continuada (BPC) ou benefício equivalente que venha a sucedê-lo.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Não serão incluídos no cálculo da renda per capita do grupo familiar de que trata esta Lei os valores recebidos do BPC, do Programa Bolsa Família e de qualquer outro benefício que venha a substituí-los.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Na elaboração da estrutura tarifária, foi considerado que 5,55% das economias residenciais se enquadram como aptas à Tarifa Social.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240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>Esta estrutura tarifária deverá ser observada pela Concessionária durante todo o período de vigência do contrato, podendo ser ajustada conforme normativas da Agência Reguladora.</w:t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ListParagraph"/>
        <w:jc w:val="center"/>
        <w:rPr>
          <w:rFonts w:eastAsia="Calibri" w:cs="Arial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ListParagraph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>ANEXO: TABELA EXPONECIAL</w:t>
      </w:r>
    </w:p>
    <w:p>
      <w:pPr>
        <w:pStyle w:val="ListParagraph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ListParagraph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ascii="Arial" w:hAnsi="Arial"/>
          <w:sz w:val="20"/>
          <w:szCs w:val="20"/>
        </w:rPr>
        <w:drawing>
          <wp:inline distT="0" distB="3810" distL="0" distR="3810">
            <wp:extent cx="4587240" cy="5577840"/>
            <wp:effectExtent l="0" t="0" r="0" b="0"/>
            <wp:docPr id="1" name="Imagem 2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Tabela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557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 w:val="false"/>
        <w:spacing w:lineRule="auto" w:line="360" w:before="0" w:after="240"/>
        <w:ind w:left="360" w:hanging="0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headerReference w:type="default" r:id="rId3"/>
      <w:footerReference w:type="default" r:id="rId4"/>
      <w:type w:val="nextPage"/>
      <w:pgSz w:w="11906" w:h="16838"/>
      <w:pgMar w:left="1701" w:right="1134" w:header="720" w:top="1701" w:footer="969" w:bottom="1134" w:gutter="0"/>
      <w:pgNumType w:start="290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 Light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right"/>
      <w:rPr>
        <w:rFonts w:ascii="Arial" w:hAnsi="Arial" w:cs="Arial"/>
        <w:sz w:val="20"/>
        <w:szCs w:val="20"/>
      </w:rPr>
    </w:pPr>
    <w:r>
      <w:rPr/>
    </w:r>
  </w:p>
  <w:p>
    <w:pPr>
      <w:pStyle w:val="Normal"/>
      <w:spacing w:before="0" w:after="16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texto"/>
      <w:spacing w:lineRule="auto" w:line="12"/>
      <w:rPr>
        <w:sz w:val="20"/>
      </w:rPr>
    </w:pPr>
    <w:r>
      <w:rPr>
        <w:sz w:val="20"/>
      </w:rPr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 w:qFormat="1"/>
    <w:lsdException w:name="toc 5" w:uiPriority="39" w:semiHidden="1" w:unhideWhenUsed="1" w:qFormat="1"/>
    <w:lsdException w:name="toc 6" w:uiPriority="39" w:semiHidden="1" w:unhideWhenUsed="1" w:qFormat="1"/>
    <w:lsdException w:name="toc 7" w:uiPriority="39" w:semiHidden="1" w:unhideWhenUsed="1" w:qFormat="1"/>
    <w:lsdException w:name="toc 8" w:uiPriority="39" w:semiHidden="1" w:unhideWhenUsed="1" w:qFormat="1"/>
    <w:lsdException w:name="toc 9" w:uiPriority="39" w:semiHidden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82f9c"/>
    <w:pPr>
      <w:keepNext w:val="true"/>
      <w:keepLines/>
      <w:spacing w:before="240" w:after="0"/>
      <w:outlineLvl w:val="0"/>
    </w:pPr>
    <w:rPr>
      <w:rFonts w:ascii="Arial" w:hAnsi="Arial" w:eastAsia="游ゴシック Light" w:cs="Times New Roman" w:cstheme="majorBidi" w:eastAsiaTheme="majorEastAsia"/>
      <w:b/>
      <w:color w:val="4472C4" w:themeColor="accent1"/>
      <w:sz w:val="24"/>
      <w:szCs w:val="32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82f9c"/>
    <w:pPr>
      <w:spacing w:before="40" w:after="0"/>
      <w:outlineLvl w:val="1"/>
    </w:pPr>
    <w:rPr>
      <w:color w:val="2F5496" w:themeColor="accent1" w:themeShade="bf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82f9c"/>
    <w:pPr>
      <w:keepNext w:val="true"/>
      <w:keepLines/>
      <w:spacing w:before="40" w:after="0"/>
      <w:outlineLvl w:val="2"/>
    </w:pPr>
    <w:rPr>
      <w:rFonts w:ascii="Arial" w:hAnsi="Arial" w:eastAsia="游ゴシック Light" w:cs="Times New Roman" w:cstheme="majorBidi" w:eastAsiaTheme="majorEastAsia"/>
      <w:b/>
      <w:color w:val="ED7D31" w:themeColor="accen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64849"/>
    <w:pPr>
      <w:keepNext w:val="true"/>
      <w:keepLines/>
      <w:spacing w:before="40" w:after="0"/>
      <w:jc w:val="both"/>
      <w:outlineLvl w:val="3"/>
    </w:pPr>
    <w:rPr>
      <w:rFonts w:ascii="Arial" w:hAnsi="Arial" w:eastAsia="游ゴシック Light" w:cs="Times New Roman" w:cstheme="majorBidi" w:eastAsiaTheme="majorEastAsia"/>
      <w:b/>
      <w:i/>
      <w:iCs/>
      <w:color w:val="4472C4" w:themeColor="accent1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iconTtuloChar" w:customStyle="1">
    <w:name w:val="Maicon Título Char"/>
    <w:basedOn w:val="DefaultParagraphFont"/>
    <w:link w:val="MaiconTtulo"/>
    <w:qFormat/>
    <w:rsid w:val="009a5b96"/>
    <w:rPr>
      <w:rFonts w:ascii="Garamond" w:hAnsi="Garamond" w:eastAsia="Times New Roman" w:cs="Times New Roman"/>
      <w:b/>
      <w:bCs/>
      <w:sz w:val="24"/>
      <w:szCs w:val="24"/>
      <w:lang w:eastAsia="pt-BR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782f9c"/>
    <w:rPr>
      <w:rFonts w:ascii="Arial" w:hAnsi="Arial" w:eastAsia="游明朝" w:eastAsiaTheme="minorEastAsia"/>
      <w:b/>
      <w:color w:val="ED7D31" w:themeColor="accent2"/>
      <w:spacing w:val="15"/>
      <w:sz w:val="24"/>
      <w:lang w:eastAsia="pt-BR"/>
    </w:rPr>
  </w:style>
  <w:style w:type="character" w:styleId="TextodenotaderodapChar" w:customStyle="1">
    <w:name w:val="Texto de nota de rodapé Char"/>
    <w:basedOn w:val="DefaultParagraphFont"/>
    <w:link w:val="Textodenotaderodap"/>
    <w:uiPriority w:val="99"/>
    <w:qFormat/>
    <w:rsid w:val="00e076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e076b0"/>
    <w:rPr>
      <w:vertAlign w:val="superscript"/>
    </w:rPr>
  </w:style>
  <w:style w:type="character" w:styleId="LinkdaInternet">
    <w:name w:val="Link da Internet"/>
    <w:basedOn w:val="DefaultParagraphFont"/>
    <w:uiPriority w:val="99"/>
    <w:unhideWhenUsed/>
    <w:qFormat/>
    <w:rsid w:val="008a1b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a1bef"/>
    <w:rPr>
      <w:color w:val="605E5C"/>
      <w:shd w:fill="E1DFDD" w:val="clear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e43b87"/>
    <w:rPr/>
  </w:style>
  <w:style w:type="character" w:styleId="RodapChar" w:customStyle="1">
    <w:name w:val="Rodapé Char"/>
    <w:basedOn w:val="DefaultParagraphFont"/>
    <w:link w:val="Rodap"/>
    <w:uiPriority w:val="99"/>
    <w:qFormat/>
    <w:rsid w:val="00e43b87"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4472C4" w:themeColor="accent1"/>
      <w:sz w:val="24"/>
      <w:szCs w:val="32"/>
    </w:rPr>
  </w:style>
  <w:style w:type="character" w:styleId="Ttulo2Char" w:customStyle="1">
    <w:name w:val="Título 2 Char"/>
    <w:basedOn w:val="DefaultParagraphFont"/>
    <w:link w:val="Ttulo2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2F5496" w:themeColor="accent1" w:themeShade="bf"/>
      <w:sz w:val="24"/>
      <w:szCs w:val="26"/>
    </w:rPr>
  </w:style>
  <w:style w:type="character" w:styleId="Ttulo3Char" w:customStyle="1">
    <w:name w:val="Título 3 Char"/>
    <w:basedOn w:val="DefaultParagraphFont"/>
    <w:link w:val="Ttulo3"/>
    <w:uiPriority w:val="9"/>
    <w:qFormat/>
    <w:rsid w:val="00782f9c"/>
    <w:rPr>
      <w:rFonts w:ascii="Arial" w:hAnsi="Arial" w:eastAsia="游ゴシック Light" w:cs="Times New Roman" w:cstheme="majorBidi" w:eastAsiaTheme="majorEastAsia"/>
      <w:b/>
      <w:color w:val="ED7D31" w:themeColor="accent2"/>
      <w:sz w:val="24"/>
      <w:szCs w:val="24"/>
    </w:rPr>
  </w:style>
  <w:style w:type="character" w:styleId="Ttulo4Char" w:customStyle="1">
    <w:name w:val="Título 4 Char"/>
    <w:basedOn w:val="DefaultParagraphFont"/>
    <w:link w:val="Ttulo4"/>
    <w:uiPriority w:val="9"/>
    <w:qFormat/>
    <w:rsid w:val="00664849"/>
    <w:rPr>
      <w:rFonts w:ascii="Arial" w:hAnsi="Arial" w:eastAsia="游ゴシック Light" w:cs="Times New Roman" w:cstheme="majorBidi" w:eastAsiaTheme="majorEastAsia"/>
      <w:b/>
      <w:i/>
      <w:iCs/>
      <w:color w:val="4472C4" w:themeColor="accent1"/>
      <w:sz w:val="24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351fa3"/>
    <w:rPr>
      <w:rFonts w:ascii="Calibri" w:hAnsi="Calibri" w:eastAsia="Calibri" w:cs="Calibri"/>
      <w:lang w:val="pt-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3063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0d3063"/>
    <w:rPr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0d3063"/>
    <w:rPr>
      <w:b/>
      <w:bCs/>
      <w:sz w:val="20"/>
      <w:szCs w:val="20"/>
    </w:rPr>
  </w:style>
  <w:style w:type="character" w:styleId="Fontepargpadro1" w:customStyle="1">
    <w:name w:val="Fonte parág. padrão1"/>
    <w:qFormat/>
    <w:rsid w:val="00c334b7"/>
    <w:rPr/>
  </w:style>
  <w:style w:type="character" w:styleId="Normaltextrun" w:customStyle="1">
    <w:name w:val="normaltextrun"/>
    <w:basedOn w:val="DefaultParagraphFont"/>
    <w:qFormat/>
    <w:rsid w:val="00c334b7"/>
    <w:rPr/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b76f3b"/>
    <w:rPr/>
  </w:style>
  <w:style w:type="character" w:styleId="LegendaChar" w:customStyle="1">
    <w:name w:val="Legenda Char"/>
    <w:basedOn w:val="DefaultParagraphFont"/>
    <w:link w:val="Legenda"/>
    <w:uiPriority w:val="35"/>
    <w:qFormat/>
    <w:locked/>
    <w:rsid w:val="00353c03"/>
    <w:rPr>
      <w:i/>
      <w:iCs/>
      <w:color w:val="44546A" w:themeColor="text2"/>
      <w:sz w:val="18"/>
      <w:szCs w:val="18"/>
    </w:rPr>
  </w:style>
  <w:style w:type="character" w:styleId="TextosChar" w:customStyle="1">
    <w:name w:val="Textos Char"/>
    <w:basedOn w:val="DefaultParagraphFont"/>
    <w:link w:val="Textos"/>
    <w:qFormat/>
    <w:rsid w:val="007c64d9"/>
    <w:rPr>
      <w:rFonts w:ascii="Arial" w:hAnsi="Arial" w:cs="Arial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75d9b"/>
    <w:rPr>
      <w:color w:val="954F72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693b63"/>
    <w:rPr>
      <w:color w:val="605E5C"/>
      <w:shd w:fill="E1DFDD" w:val="clear"/>
    </w:rPr>
  </w:style>
  <w:style w:type="character" w:styleId="Meno1" w:customStyle="1">
    <w:name w:val="Menção1"/>
    <w:basedOn w:val="DefaultParagraphFont"/>
    <w:uiPriority w:val="99"/>
    <w:unhideWhenUsed/>
    <w:qFormat/>
    <w:rsid w:val="00693b63"/>
    <w:rPr>
      <w:color w:val="2B579A"/>
      <w:shd w:fill="E1DFDD" w:val="clear"/>
    </w:rPr>
  </w:style>
  <w:style w:type="character" w:styleId="FontesChar" w:customStyle="1">
    <w:name w:val="Fontes Char"/>
    <w:basedOn w:val="DefaultParagraphFont"/>
    <w:link w:val="Fontes"/>
    <w:qFormat/>
    <w:rsid w:val="00693b63"/>
    <w:rPr>
      <w:rFonts w:ascii="Arial" w:hAnsi="Arial" w:cs="Arial"/>
      <w:color w:val="000000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693b63"/>
    <w:rPr>
      <w:color w:val="808080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693b63"/>
    <w:rPr>
      <w:color w:val="605E5C"/>
      <w:shd w:fill="E1DFDD" w:val="clear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/>
      <w:bCs/>
    </w:rPr>
  </w:style>
  <w:style w:type="character" w:styleId="ListLabel6">
    <w:name w:val="ListLabel 6"/>
    <w:qFormat/>
    <w:rPr>
      <w:color w:val="000000"/>
    </w:rPr>
  </w:style>
  <w:style w:type="character" w:styleId="ListLabel7">
    <w:name w:val="ListLabel 7"/>
    <w:qFormat/>
    <w:rPr>
      <w:color w:val="000000"/>
    </w:rPr>
  </w:style>
  <w:style w:type="character" w:styleId="ListLabel8">
    <w:name w:val="ListLabel 8"/>
    <w:qFormat/>
    <w:rPr>
      <w:color w:val="000000"/>
    </w:rPr>
  </w:style>
  <w:style w:type="character" w:styleId="ListLabel9">
    <w:name w:val="ListLabel 9"/>
    <w:qFormat/>
    <w:rPr>
      <w:color w:val="000000"/>
    </w:rPr>
  </w:style>
  <w:style w:type="character" w:styleId="ListLabel10">
    <w:name w:val="ListLabel 10"/>
    <w:qFormat/>
    <w:rPr>
      <w:color w:val="000000"/>
    </w:rPr>
  </w:style>
  <w:style w:type="character" w:styleId="ListLabel11">
    <w:name w:val="ListLabel 11"/>
    <w:qFormat/>
    <w:rPr>
      <w:color w:val="000000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rFonts w:eastAsia="Calibri" w:cs="Arial"/>
    </w:rPr>
  </w:style>
  <w:style w:type="character" w:styleId="ListLabel15">
    <w:name w:val="ListLabel 15"/>
    <w:qFormat/>
    <w:rPr>
      <w:rFonts w:eastAsia="Calibri Light" w:cs="Arial"/>
      <w:b w:val="false"/>
      <w:bCs w:val="false"/>
      <w:i w:val="false"/>
      <w:iCs w:val="false"/>
      <w:w w:val="99"/>
      <w:sz w:val="24"/>
      <w:szCs w:val="24"/>
      <w:lang w:val="pt-PT" w:eastAsia="en-US" w:bidi="ar-SA"/>
    </w:rPr>
  </w:style>
  <w:style w:type="character" w:styleId="ListLabel16">
    <w:name w:val="ListLabel 16"/>
    <w:qFormat/>
    <w:rPr>
      <w:lang w:val="pt-PT" w:eastAsia="en-US" w:bidi="ar-SA"/>
    </w:rPr>
  </w:style>
  <w:style w:type="character" w:styleId="ListLabel17">
    <w:name w:val="ListLabel 17"/>
    <w:qFormat/>
    <w:rPr>
      <w:lang w:val="pt-PT" w:eastAsia="en-US" w:bidi="ar-SA"/>
    </w:rPr>
  </w:style>
  <w:style w:type="character" w:styleId="ListLabel18">
    <w:name w:val="ListLabel 18"/>
    <w:qFormat/>
    <w:rPr>
      <w:lang w:val="pt-PT" w:eastAsia="en-US" w:bidi="ar-SA"/>
    </w:rPr>
  </w:style>
  <w:style w:type="character" w:styleId="ListLabel19">
    <w:name w:val="ListLabel 19"/>
    <w:qFormat/>
    <w:rPr>
      <w:lang w:val="pt-PT" w:eastAsia="en-US" w:bidi="ar-SA"/>
    </w:rPr>
  </w:style>
  <w:style w:type="character" w:styleId="ListLabel20">
    <w:name w:val="ListLabel 20"/>
    <w:qFormat/>
    <w:rPr>
      <w:lang w:val="pt-PT" w:eastAsia="en-US" w:bidi="ar-SA"/>
    </w:rPr>
  </w:style>
  <w:style w:type="character" w:styleId="ListLabel21">
    <w:name w:val="ListLabel 21"/>
    <w:qFormat/>
    <w:rPr>
      <w:lang w:val="pt-PT" w:eastAsia="en-US" w:bidi="ar-SA"/>
    </w:rPr>
  </w:style>
  <w:style w:type="character" w:styleId="ListLabel22">
    <w:name w:val="ListLabel 22"/>
    <w:qFormat/>
    <w:rPr>
      <w:lang w:val="pt-PT" w:eastAsia="en-US" w:bidi="ar-SA"/>
    </w:rPr>
  </w:style>
  <w:style w:type="character" w:styleId="ListLabel23">
    <w:name w:val="ListLabel 23"/>
    <w:qFormat/>
    <w:rPr>
      <w:lang w:val="pt-PT" w:eastAsia="en-US" w:bidi="ar-SA"/>
    </w:rPr>
  </w:style>
  <w:style w:type="character" w:styleId="ListLabel24">
    <w:name w:val="ListLabel 24"/>
    <w:qFormat/>
    <w:rPr>
      <w:rFonts w:eastAsia="Symbol" w:cs="Symbol"/>
      <w:b w:val="false"/>
      <w:bCs w:val="false"/>
      <w:i w:val="false"/>
      <w:iCs w:val="false"/>
      <w:w w:val="100"/>
      <w:sz w:val="24"/>
      <w:szCs w:val="24"/>
      <w:lang w:val="pt-PT" w:eastAsia="en-US" w:bidi="ar-SA"/>
    </w:rPr>
  </w:style>
  <w:style w:type="character" w:styleId="ListLabel25">
    <w:name w:val="ListLabel 25"/>
    <w:qFormat/>
    <w:rPr>
      <w:lang w:val="pt-PT" w:eastAsia="en-US" w:bidi="ar-SA"/>
    </w:rPr>
  </w:style>
  <w:style w:type="character" w:styleId="ListLabel26">
    <w:name w:val="ListLabel 26"/>
    <w:qFormat/>
    <w:rPr>
      <w:lang w:val="pt-PT" w:eastAsia="en-US" w:bidi="ar-SA"/>
    </w:rPr>
  </w:style>
  <w:style w:type="character" w:styleId="ListLabel27">
    <w:name w:val="ListLabel 27"/>
    <w:qFormat/>
    <w:rPr>
      <w:lang w:val="pt-PT" w:eastAsia="en-US" w:bidi="ar-SA"/>
    </w:rPr>
  </w:style>
  <w:style w:type="character" w:styleId="ListLabel28">
    <w:name w:val="ListLabel 28"/>
    <w:qFormat/>
    <w:rPr>
      <w:lang w:val="pt-PT" w:eastAsia="en-US" w:bidi="ar-SA"/>
    </w:rPr>
  </w:style>
  <w:style w:type="character" w:styleId="ListLabel29">
    <w:name w:val="ListLabel 29"/>
    <w:qFormat/>
    <w:rPr>
      <w:lang w:val="pt-PT" w:eastAsia="en-US" w:bidi="ar-SA"/>
    </w:rPr>
  </w:style>
  <w:style w:type="character" w:styleId="ListLabel30">
    <w:name w:val="ListLabel 30"/>
    <w:qFormat/>
    <w:rPr>
      <w:lang w:val="pt-PT" w:eastAsia="en-US" w:bidi="ar-SA"/>
    </w:rPr>
  </w:style>
  <w:style w:type="character" w:styleId="ListLabel31">
    <w:name w:val="ListLabel 31"/>
    <w:qFormat/>
    <w:rPr>
      <w:lang w:val="pt-PT" w:eastAsia="en-US" w:bidi="ar-SA"/>
    </w:rPr>
  </w:style>
  <w:style w:type="character" w:styleId="ListLabel32">
    <w:name w:val="ListLabel 32"/>
    <w:qFormat/>
    <w:rPr>
      <w:lang w:val="pt-PT" w:eastAsia="en-US" w:bidi="ar-SA"/>
    </w:rPr>
  </w:style>
  <w:style w:type="character" w:styleId="ListLabel33">
    <w:name w:val="ListLabel 33"/>
    <w:qFormat/>
    <w:rPr>
      <w:rFonts w:eastAsia="Calibri" w:cs="Arial"/>
      <w:b/>
      <w:bCs/>
      <w:i w:val="false"/>
      <w:iCs w:val="false"/>
      <w:w w:val="100"/>
      <w:sz w:val="24"/>
      <w:szCs w:val="24"/>
      <w:lang w:val="pt-PT" w:eastAsia="en-US" w:bidi="ar-SA"/>
    </w:rPr>
  </w:style>
  <w:style w:type="character" w:styleId="ListLabel34">
    <w:name w:val="ListLabel 34"/>
    <w:qFormat/>
    <w:rPr>
      <w:rFonts w:eastAsia="Calibri" w:cs="Arial"/>
      <w:b w:val="false"/>
      <w:bCs w:val="false"/>
      <w:i w:val="false"/>
      <w:iCs w:val="false"/>
      <w:w w:val="100"/>
      <w:sz w:val="24"/>
      <w:szCs w:val="24"/>
      <w:lang w:val="pt-PT" w:eastAsia="en-US" w:bidi="ar-SA"/>
    </w:rPr>
  </w:style>
  <w:style w:type="character" w:styleId="ListLabel35">
    <w:name w:val="ListLabel 35"/>
    <w:qFormat/>
    <w:rPr>
      <w:rFonts w:eastAsia="Calibri" w:cs="Arial"/>
      <w:b w:val="false"/>
      <w:bCs w:val="false"/>
      <w:i w:val="false"/>
      <w:iCs w:val="false"/>
      <w:spacing w:val="-1"/>
      <w:w w:val="100"/>
      <w:sz w:val="24"/>
      <w:szCs w:val="24"/>
      <w:lang w:val="pt-PT" w:eastAsia="en-US" w:bidi="ar-SA"/>
    </w:rPr>
  </w:style>
  <w:style w:type="character" w:styleId="ListLabel36">
    <w:name w:val="ListLabel 36"/>
    <w:qFormat/>
    <w:rPr>
      <w:lang w:val="pt-PT" w:eastAsia="en-US" w:bidi="ar-SA"/>
    </w:rPr>
  </w:style>
  <w:style w:type="character" w:styleId="ListLabel37">
    <w:name w:val="ListLabel 37"/>
    <w:qFormat/>
    <w:rPr>
      <w:lang w:val="pt-PT" w:eastAsia="en-US" w:bidi="ar-SA"/>
    </w:rPr>
  </w:style>
  <w:style w:type="character" w:styleId="ListLabel38">
    <w:name w:val="ListLabel 38"/>
    <w:qFormat/>
    <w:rPr>
      <w:lang w:val="pt-PT" w:eastAsia="en-US" w:bidi="ar-SA"/>
    </w:rPr>
  </w:style>
  <w:style w:type="character" w:styleId="ListLabel39">
    <w:name w:val="ListLabel 39"/>
    <w:qFormat/>
    <w:rPr>
      <w:lang w:val="pt-PT" w:eastAsia="en-US" w:bidi="ar-SA"/>
    </w:rPr>
  </w:style>
  <w:style w:type="character" w:styleId="ListLabel40">
    <w:name w:val="ListLabel 40"/>
    <w:qFormat/>
    <w:rPr>
      <w:lang w:val="pt-PT" w:eastAsia="en-US" w:bidi="ar-SA"/>
    </w:rPr>
  </w:style>
  <w:style w:type="character" w:styleId="ListLabel41">
    <w:name w:val="ListLabel 41"/>
    <w:qFormat/>
    <w:rPr>
      <w:lang w:val="pt-PT" w:eastAsia="en-US" w:bidi="ar-SA"/>
    </w:rPr>
  </w:style>
  <w:style w:type="character" w:styleId="ListLabel42">
    <w:name w:val="ListLabel 42"/>
    <w:qFormat/>
    <w:rPr>
      <w:rFonts w:cs="Arial"/>
      <w:b/>
      <w:bCs/>
      <w:sz w:val="24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b/>
      <w:bCs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eastAsia="MS Mincho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rFonts w:ascii="Arial" w:hAnsi="Arial"/>
      <w:sz w:val="24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3">
    <w:name w:val="ListLabel 83"/>
    <w:qFormat/>
    <w:rPr>
      <w:b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351fa3"/>
    <w:pPr>
      <w:widowControl w:val="false"/>
      <w:spacing w:lineRule="auto" w:line="240" w:before="0" w:after="0"/>
    </w:pPr>
    <w:rPr>
      <w:rFonts w:ascii="Calibri" w:hAnsi="Calibri" w:eastAsia="Calibri" w:cs="Calibri"/>
      <w:lang w:val="pt-PT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MaiconTtulo" w:customStyle="1">
    <w:name w:val="Maicon Título"/>
    <w:basedOn w:val="Normal"/>
    <w:link w:val="MaiconTtuloChar"/>
    <w:qFormat/>
    <w:rsid w:val="009a5b96"/>
    <w:pPr>
      <w:spacing w:lineRule="exact" w:line="380" w:before="0" w:after="0"/>
      <w:jc w:val="both"/>
    </w:pPr>
    <w:rPr>
      <w:rFonts w:ascii="Garamond" w:hAnsi="Garamond" w:eastAsia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2f9c"/>
    <w:pPr>
      <w:spacing w:lineRule="exact" w:line="380" w:before="0" w:after="0"/>
    </w:pPr>
    <w:rPr>
      <w:rFonts w:ascii="Arial" w:hAnsi="Arial" w:eastAsia="游明朝" w:eastAsiaTheme="minorEastAsia"/>
      <w:b/>
      <w:color w:val="ED7D31" w:themeColor="accent2"/>
      <w:spacing w:val="15"/>
      <w:sz w:val="24"/>
      <w:lang w:eastAsia="pt-BR"/>
    </w:rPr>
  </w:style>
  <w:style w:type="paragraph" w:styleId="ListParagraph">
    <w:name w:val="List Paragraph"/>
    <w:basedOn w:val="Normal"/>
    <w:link w:val="PargrafodaListaChar"/>
    <w:uiPriority w:val="34"/>
    <w:qFormat/>
    <w:rsid w:val="00861df1"/>
    <w:pPr>
      <w:spacing w:before="0" w:after="160"/>
      <w:ind w:left="720" w:hanging="0"/>
      <w:contextualSpacing/>
    </w:pPr>
    <w:rPr/>
  </w:style>
  <w:style w:type="paragraph" w:styleId="Footnotetext">
    <w:name w:val="footnote text"/>
    <w:basedOn w:val="Normal"/>
    <w:link w:val="TextodenotaderodapChar"/>
    <w:uiPriority w:val="99"/>
    <w:unhideWhenUsed/>
    <w:qFormat/>
    <w:rsid w:val="00e076b0"/>
    <w:pPr>
      <w:spacing w:lineRule="auto" w:line="240" w:before="0" w:after="0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qFormat/>
    <w:rsid w:val="00e43b87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qFormat/>
    <w:rsid w:val="00e43b87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TOCHeading">
    <w:name w:val="TOC Heading"/>
    <w:basedOn w:val="Ttulo1"/>
    <w:next w:val="Normal"/>
    <w:uiPriority w:val="39"/>
    <w:unhideWhenUsed/>
    <w:qFormat/>
    <w:rsid w:val="00b51461"/>
    <w:pPr/>
    <w:rPr>
      <w:rFonts w:ascii="Calibri Light" w:hAnsi="Calibri Light" w:asciiTheme="majorHAnsi" w:hAnsiTheme="majorHAnsi"/>
      <w:b w:val="false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7f37f2"/>
    <w:pPr>
      <w:tabs>
        <w:tab w:val="right" w:pos="9061" w:leader="dot"/>
      </w:tabs>
      <w:spacing w:before="0" w:after="100"/>
      <w:jc w:val="both"/>
    </w:pPr>
    <w:rPr>
      <w:rFonts w:ascii="Arial" w:hAnsi="Arial" w:cs="Arial"/>
      <w:b/>
      <w:bCs/>
      <w:color w:val="4472C4" w:themeColor="accent1"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a08ae"/>
    <w:pPr>
      <w:tabs>
        <w:tab w:val="left" w:pos="567" w:leader="none"/>
        <w:tab w:val="right" w:pos="9061" w:leader="dot"/>
      </w:tabs>
      <w:spacing w:before="0" w:after="100"/>
      <w:jc w:val="both"/>
    </w:pPr>
    <w:rPr>
      <w:rFonts w:ascii="Arial" w:hAnsi="Arial" w:cs="Arial"/>
      <w:b/>
      <w:bCs/>
      <w:color w:val="4472C4" w:themeColor="accent1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b51461"/>
    <w:pPr>
      <w:spacing w:before="0" w:after="100"/>
      <w:ind w:left="440" w:hanging="0"/>
    </w:pPr>
    <w:rPr/>
  </w:style>
  <w:style w:type="paragraph" w:styleId="Sumrio4">
    <w:name w:val="TOC 4"/>
    <w:basedOn w:val="Normal"/>
    <w:next w:val="Normal"/>
    <w:autoRedefine/>
    <w:uiPriority w:val="39"/>
    <w:unhideWhenUsed/>
    <w:qFormat/>
    <w:rsid w:val="00ea4316"/>
    <w:pPr>
      <w:spacing w:before="0" w:after="100"/>
      <w:ind w:left="660" w:hanging="0"/>
    </w:pPr>
    <w:rPr>
      <w:rFonts w:eastAsia="游明朝" w:eastAsiaTheme="minorEastAsia"/>
      <w:lang w:eastAsia="pt-BR"/>
    </w:rPr>
  </w:style>
  <w:style w:type="paragraph" w:styleId="TableParagraph" w:customStyle="1">
    <w:name w:val="Table Paragraph"/>
    <w:basedOn w:val="Normal"/>
    <w:uiPriority w:val="1"/>
    <w:qFormat/>
    <w:rsid w:val="00351fa3"/>
    <w:pPr>
      <w:widowControl w:val="false"/>
      <w:spacing w:lineRule="auto" w:line="240" w:before="54" w:after="0"/>
      <w:ind w:left="547" w:right="537" w:hanging="0"/>
      <w:jc w:val="center"/>
    </w:pPr>
    <w:rPr>
      <w:rFonts w:ascii="Calibri" w:hAnsi="Calibri" w:eastAsia="Calibri" w:cs="Calibri"/>
      <w:lang w:val="pt-PT"/>
    </w:rPr>
  </w:style>
  <w:style w:type="paragraph" w:styleId="Sumrio5">
    <w:name w:val="TOC 5"/>
    <w:basedOn w:val="Normal"/>
    <w:next w:val="Normal"/>
    <w:autoRedefine/>
    <w:uiPriority w:val="39"/>
    <w:unhideWhenUsed/>
    <w:qFormat/>
    <w:rsid w:val="00ea4316"/>
    <w:pPr>
      <w:spacing w:before="0" w:after="100"/>
      <w:ind w:left="880" w:hanging="0"/>
    </w:pPr>
    <w:rPr>
      <w:rFonts w:eastAsia="游明朝"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qFormat/>
    <w:rsid w:val="00ea4316"/>
    <w:pPr>
      <w:spacing w:before="0" w:after="100"/>
      <w:ind w:left="1100" w:hanging="0"/>
    </w:pPr>
    <w:rPr>
      <w:rFonts w:eastAsia="游明朝"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qFormat/>
    <w:rsid w:val="00ea4316"/>
    <w:pPr>
      <w:spacing w:before="0" w:after="100"/>
      <w:ind w:left="1320" w:hanging="0"/>
    </w:pPr>
    <w:rPr>
      <w:rFonts w:eastAsia="游明朝"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qFormat/>
    <w:rsid w:val="00ea4316"/>
    <w:pPr>
      <w:spacing w:before="0" w:after="100"/>
      <w:ind w:left="1540" w:hanging="0"/>
    </w:pPr>
    <w:rPr>
      <w:rFonts w:eastAsia="游明朝"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qFormat/>
    <w:rsid w:val="00ea4316"/>
    <w:pPr>
      <w:spacing w:before="0" w:after="100"/>
      <w:ind w:left="1760" w:hanging="0"/>
    </w:pPr>
    <w:rPr>
      <w:rFonts w:eastAsia="游明朝" w:eastAsiaTheme="minorEastAsia"/>
      <w:lang w:eastAsia="pt-BR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0d30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rsid w:val="000d3063"/>
    <w:pPr/>
    <w:rPr>
      <w:b/>
      <w:bCs/>
    </w:rPr>
  </w:style>
  <w:style w:type="paragraph" w:styleId="Revision">
    <w:name w:val="Revision"/>
    <w:uiPriority w:val="99"/>
    <w:qFormat/>
    <w:rsid w:val="00df7e85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Standard" w:customStyle="1">
    <w:name w:val="Standard"/>
    <w:qFormat/>
    <w:rsid w:val="00c334b7"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2"/>
      <w:szCs w:val="22"/>
      <w:lang w:eastAsia="pt-BR" w:bidi="hi-IN" w:val="pt-BR"/>
    </w:rPr>
  </w:style>
  <w:style w:type="paragraph" w:styleId="Default" w:customStyle="1">
    <w:name w:val="Default"/>
    <w:qFormat/>
    <w:rsid w:val="004c3c0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t-BR" w:eastAsia="en-US" w:bidi="ar-SA"/>
    </w:rPr>
  </w:style>
  <w:style w:type="paragraph" w:styleId="Caption">
    <w:name w:val="caption"/>
    <w:basedOn w:val="Normal"/>
    <w:next w:val="Normal"/>
    <w:link w:val="LegendaChar"/>
    <w:uiPriority w:val="35"/>
    <w:unhideWhenUsed/>
    <w:qFormat/>
    <w:rsid w:val="0081106b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extos" w:customStyle="1">
    <w:name w:val="Textos"/>
    <w:basedOn w:val="Normal"/>
    <w:link w:val="TextosChar"/>
    <w:autoRedefine/>
    <w:qFormat/>
    <w:rsid w:val="007c64d9"/>
    <w:pPr>
      <w:spacing w:lineRule="auto" w:line="360" w:before="240" w:after="240"/>
      <w:ind w:right="68" w:firstLine="567"/>
      <w:jc w:val="both"/>
    </w:pPr>
    <w:rPr>
      <w:rFonts w:ascii="Arial" w:hAnsi="Arial" w:cs="Arial"/>
      <w:sz w:val="24"/>
    </w:rPr>
  </w:style>
  <w:style w:type="paragraph" w:styleId="ParPadro" w:customStyle="1">
    <w:name w:val="ParPadrão"/>
    <w:basedOn w:val="Normal"/>
    <w:qFormat/>
    <w:rsid w:val="00903363"/>
    <w:pPr>
      <w:spacing w:lineRule="auto" w:line="276" w:before="120" w:after="240"/>
      <w:ind w:firstLine="567"/>
      <w:jc w:val="both"/>
    </w:pPr>
    <w:rPr>
      <w:sz w:val="24"/>
    </w:rPr>
  </w:style>
  <w:style w:type="paragraph" w:styleId="CabealhodoSumrio1" w:customStyle="1">
    <w:name w:val="Cabeçalho do Sumário1"/>
    <w:basedOn w:val="Ttulo1"/>
    <w:next w:val="Normal"/>
    <w:uiPriority w:val="39"/>
    <w:unhideWhenUsed/>
    <w:qFormat/>
    <w:rsid w:val="00693b63"/>
    <w:pPr/>
    <w:rPr>
      <w:rFonts w:ascii="Calibri Light" w:hAnsi="Calibri Light" w:asciiTheme="majorHAnsi" w:hAnsiTheme="majorHAnsi"/>
      <w:b w:val="false"/>
      <w:color w:val="2F5496" w:themeColor="accent1" w:themeShade="bf"/>
      <w:sz w:val="32"/>
      <w:lang w:eastAsia="pt-BR"/>
    </w:rPr>
  </w:style>
  <w:style w:type="paragraph" w:styleId="Reviso1" w:customStyle="1">
    <w:name w:val="Revisão1"/>
    <w:uiPriority w:val="99"/>
    <w:semiHidden/>
    <w:qFormat/>
    <w:rsid w:val="00693b63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Msonormal" w:customStyle="1">
    <w:name w:val="msonormal"/>
    <w:basedOn w:val="Normal"/>
    <w:qFormat/>
    <w:rsid w:val="00693b6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Xl63" w:customStyle="1">
    <w:name w:val="xl63"/>
    <w:basedOn w:val="Normal"/>
    <w:qFormat/>
    <w:rsid w:val="00693b6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0C0C0"/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Xl64" w:customStyle="1">
    <w:name w:val="xl64"/>
    <w:basedOn w:val="Normal"/>
    <w:qFormat/>
    <w:rsid w:val="00693b63"/>
    <w:pPr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Xl65" w:customStyle="1">
    <w:name w:val="xl65"/>
    <w:basedOn w:val="Normal"/>
    <w:qFormat/>
    <w:rsid w:val="00693b6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pt-BR"/>
    </w:rPr>
  </w:style>
  <w:style w:type="paragraph" w:styleId="Fontes" w:customStyle="1">
    <w:name w:val="Fontes"/>
    <w:basedOn w:val="Normal"/>
    <w:link w:val="FontesChar"/>
    <w:autoRedefine/>
    <w:qFormat/>
    <w:rsid w:val="00693b63"/>
    <w:pPr>
      <w:tabs>
        <w:tab w:val="left" w:pos="1985" w:leader="none"/>
      </w:tabs>
      <w:spacing w:lineRule="auto" w:line="360" w:before="120" w:after="120"/>
    </w:pPr>
    <w:rPr>
      <w:rFonts w:ascii="Arial" w:hAnsi="Arial" w:cs="Arial"/>
      <w:color w:val="000000" w:themeColor="text1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qFormat/>
    <w:rsid w:val="000e0f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alTable0">
    <w:name w:val="Normal Table0"/>
    <w:uiPriority w:val="2"/>
    <w:semiHidden/>
    <w:unhideWhenUsed/>
    <w:qFormat/>
    <w:rsid w:val="00351fa3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sid w:val="00351fa3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deGrade3">
    <w:name w:val="Grid Table 3"/>
    <w:basedOn w:val="Tabelanormal"/>
    <w:uiPriority w:val="48"/>
    <w:rsid w:val="00b76f3b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TabeladeGrade5Escura-nfase3">
    <w:name w:val="Grid Table 5 Dark Accent 3"/>
    <w:basedOn w:val="Tabelanormal"/>
    <w:uiPriority w:val="50"/>
    <w:rsid w:val="00353c0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deGrade4">
    <w:name w:val="Grid Table 4"/>
    <w:basedOn w:val="Tabelanormal"/>
    <w:uiPriority w:val="49"/>
    <w:rsid w:val="00353c0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3">
    <w:name w:val="Grid Table 4 Accent 3"/>
    <w:basedOn w:val="Tabelanormal"/>
    <w:uiPriority w:val="49"/>
    <w:rsid w:val="00903363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9" w:sz="4" w:space="0"/>
        <w:left w:val="single" w:color="C9C9C9" w:themeColor="accent3" w:themeTint="99" w:sz="4" w:space="0"/>
        <w:bottom w:val="single" w:color="C9C9C9" w:themeColor="accent3" w:themeTint="99" w:sz="4" w:space="0"/>
        <w:right w:val="single" w:color="C9C9C9" w:themeColor="accent3" w:themeTint="99" w:sz="4" w:space="0"/>
        <w:insideH w:val="single" w:color="C9C9C9" w:themeColor="accent3" w:themeTint="99" w:sz="4" w:space="0"/>
        <w:insideV w:val="single" w:color="C9C9C9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deGrade31">
    <w:name w:val="Tabela de Grade 31"/>
    <w:basedOn w:val="Tabelanormal"/>
    <w:uiPriority w:val="48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customStyle="1" w:styleId="TabeladeGrade5Escura-nfase31">
    <w:name w:val="Tabela de Grade 5 Escura - Ênfase 31"/>
    <w:basedOn w:val="Tabelanormal"/>
    <w:uiPriority w:val="50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eladeGrade41">
    <w:name w:val="Tabela de Grade 41"/>
    <w:basedOn w:val="Tabelanormal"/>
    <w:uiPriority w:val="49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4-nfase31">
    <w:name w:val="Tabela de Grade 4 - Ênfase 31"/>
    <w:basedOn w:val="Tabelanormal"/>
    <w:uiPriority w:val="49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C9C9C9" w:themeColor="accent3" w:themeTint="99" w:sz="4" w:space="0"/>
        <w:left w:val="single" w:color="C9C9C9" w:themeColor="accent3" w:themeTint="99" w:sz="4" w:space="0"/>
        <w:bottom w:val="single" w:color="C9C9C9" w:themeColor="accent3" w:themeTint="99" w:sz="4" w:space="0"/>
        <w:right w:val="single" w:color="C9C9C9" w:themeColor="accent3" w:themeTint="99" w:sz="4" w:space="0"/>
        <w:insideH w:val="single" w:color="C9C9C9" w:themeColor="accent3" w:themeTint="99" w:sz="4" w:space="0"/>
        <w:insideV w:val="single" w:color="C9C9C9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deGrade2-nfase31">
    <w:name w:val="Tabela de Grade 2 - Ênfase 31"/>
    <w:basedOn w:val="Tabelanormal"/>
    <w:uiPriority w:val="47"/>
    <w:qFormat/>
    <w:rsid w:val="00693b63"/>
    <w:pPr>
      <w:spacing w:after="0" w:line="240" w:lineRule="auto"/>
    </w:pPr>
    <w:rPr>
      <w:lang w:eastAsia="pt-BR"/>
      <w:sz w:val="20"/>
      <w:szCs w:val="20"/>
    </w:rPr>
    <w:tblPr>
      <w:tblBorders>
        <w:top w:val="single" w:color="C9C9C9" w:themeColor="accent3" w:themeTint="99" w:sz="2" w:space="0"/>
        <w:bottom w:val="single" w:color="C9C9C9" w:themeColor="accent3" w:themeTint="99" w:sz="2" w:space="0"/>
        <w:insideH w:val="single" w:color="C9C9C9" w:themeColor="accent3" w:themeTint="99" w:sz="2" w:space="0"/>
        <w:insideV w:val="single" w:color="C9C9C9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9C9C9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9C9C9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mples51">
    <w:name w:val="Tabela Simples 51"/>
    <w:basedOn w:val="Tabelanormal"/>
    <w:uiPriority w:val="45"/>
    <w:qFormat/>
    <w:rsid w:val="00693b63"/>
    <w:pPr>
      <w:spacing w:after="0" w:line="240" w:lineRule="auto"/>
    </w:pPr>
    <w:rPr>
      <w:lang w:eastAsia="pt-BR"/>
      <w:sz w:val="20"/>
      <w:szCs w:val="20"/>
    </w:r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32e65f-bc73-48aa-93a9-8e424d7a993f" xsi:nil="true"/>
    <lcf76f155ced4ddcb4097134ff3c332f xmlns="a661b63e-0d7c-4b44-9eed-216f1ff6e92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1294E9F72A694B834BFA6CE44778D1" ma:contentTypeVersion="13" ma:contentTypeDescription="Crie um novo documento." ma:contentTypeScope="" ma:versionID="26995293c9c789a9f5a74ad529f354f9">
  <xsd:schema xmlns:xsd="http://www.w3.org/2001/XMLSchema" xmlns:xs="http://www.w3.org/2001/XMLSchema" xmlns:p="http://schemas.microsoft.com/office/2006/metadata/properties" xmlns:ns2="a661b63e-0d7c-4b44-9eed-216f1ff6e929" xmlns:ns3="2332e65f-bc73-48aa-93a9-8e424d7a993f" targetNamespace="http://schemas.microsoft.com/office/2006/metadata/properties" ma:root="true" ma:fieldsID="b49ffd83acc96f678d617141e9f1bd61" ns2:_="" ns3:_="">
    <xsd:import namespace="a661b63e-0d7c-4b44-9eed-216f1ff6e929"/>
    <xsd:import namespace="2332e65f-bc73-48aa-93a9-8e424d7a9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1b63e-0d7c-4b44-9eed-216f1ff6e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f7232a20-a42b-4775-ad44-7fdd374f23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2e65f-bc73-48aa-93a9-8e424d7a993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575434-ae04-49dd-994a-2d1575af3861}" ma:internalName="TaxCatchAll" ma:showField="CatchAllData" ma:web="2332e65f-bc73-48aa-93a9-8e424d7a9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20044-8643-4970-AC77-71D13674C377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332e65f-bc73-48aa-93a9-8e424d7a993f"/>
    <ds:schemaRef ds:uri="a661b63e-0d7c-4b44-9eed-216f1ff6e92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A8E86F-8B95-4557-AC13-86C8FAD6CE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3601AC-AF88-412A-997A-1819C131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1b63e-0d7c-4b44-9eed-216f1ff6e929"/>
    <ds:schemaRef ds:uri="2332e65f-bc73-48aa-93a9-8e424d7a9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5E9BB-74D3-4335-AB6C-6BAF5B657C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LibreOffice/5.4.7.2$Windows_X86_64 LibreOffice_project/c838ef25c16710f8838b1faec480ebba495259d0</Application>
  <Pages>4</Pages>
  <Words>533</Words>
  <Characters>2840</Characters>
  <CharactersWithSpaces>3308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2025-05-08T18:08:00Z</dcterms:created>
  <dc:creator>Maicon Pasqualon</dc:creator>
  <dc:description/>
  <dc:language>pt-BR</dc:language>
  <cp:lastModifiedBy/>
  <cp:lastPrinted>2025-08-29T12:35:00Z</cp:lastPrinted>
  <dcterms:modified xsi:type="dcterms:W3CDTF">2025-08-29T14:54:01Z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lianceAssetId">
    <vt:lpwstr/>
  </property>
  <property fmtid="{D5CDD505-2E9C-101B-9397-08002B2CF9AE}" pid="4" name="ContentTypeId">
    <vt:lpwstr>0x010100C51294E9F72A694B834BFA6CE44778D1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Order">
    <vt:i4>1721500</vt:i4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TriggerFlowInfo">
    <vt:lpwstr/>
  </property>
  <property fmtid="{D5CDD505-2E9C-101B-9397-08002B2CF9AE}" pid="13" name="_ExtendedDescription">
    <vt:lpwstr/>
  </property>
</Properties>
</file>